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  <w:t>监考员、巡考员需求数量表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</w:p>
    <w:tbl>
      <w:tblPr>
        <w:tblStyle w:val="3"/>
        <w:tblW w:w="10536" w:type="dxa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736"/>
        <w:gridCol w:w="1788"/>
        <w:gridCol w:w="1860"/>
        <w:gridCol w:w="1788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报送监考员数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报送监考员数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报送巡考员人数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现代音乐学院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长清校区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艺术管理学院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书法学院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城市艺术与创意学院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国际艺术交流学院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/>
                <w:iCs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公共教育学院（非英语）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英语教师须全体参加。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文东校区需1名英语教师及1名非英语教师。报送时请注明。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其余人员均在长清校区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D72D4"/>
    <w:multiLevelType w:val="singleLevel"/>
    <w:tmpl w:val="9B4D72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YTI2MWEwYzcwZjk0ZjkxYTk1ZjAwYWEwZGFmNDMifQ=="/>
  </w:docVars>
  <w:rsids>
    <w:rsidRoot w:val="62CF6CB8"/>
    <w:rsid w:val="62C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2023-12-09T07:03:00Z</dcterms:created>
  <dc:creator>阿莲</dc:creator>
  <cp:lastModifiedBy>阿莲</cp:lastModifiedBy>
  <dcterms:modified xsi:type="dcterms:W3CDTF">2023-12-09T07:03:52Z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C0573D8BA4244336B648125C4372AD41_11</vt:lpwstr>
  </property>
</Properties>
</file>